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Задача A-Цукерки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Цукерки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82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времени: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памяти: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256 M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Петрик та Василь дуже люблять цукерки.Та вони їх не їдять,а колекціонують.Петрик полюбляє цукерки з малюнком ведмедя на обгортці, а Василь полюбляє з малюнком лисиці.У Петрика</w:t>
      </w:r>
      <w:r>
        <w:rPr>
          <w:rFonts w:ascii="Times New Roman CYR" w:hAnsi="Times New Roman CYR" w:cs="Times New Roman CYR"/>
          <w:sz w:val="24"/>
          <w:szCs w:val="24"/>
        </w:rPr>
        <w:t xml:space="preserve"> є непотрібні йому цукерки (обгортки цукерок не подобаються Петрикові). І у Василька є непотрібні йому цукерки. Також Петрик і Василь полюбляють обмінюватись непотрібними цукерками. Вони обмінюють всі свої непотрібні , на всі непотрібні цукерки товарища.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Дано 2 числа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N, K 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N, K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кількість непотрібних цукерок відповідно Петрика і Василька.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Oдне число кількість цукерок, які отримав Петрик під час обміну.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Примеры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01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Входные данные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1 2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2 3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Задача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B-Звичайна арифметика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Звичайна арифметика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82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времени: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памяти: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256 M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Дано два числа (a і b) та операція (словом), котру необхідно виконати: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plus</w:t>
      </w:r>
      <w:r>
        <w:rPr>
          <w:rFonts w:ascii="Times New Roman CYR" w:hAnsi="Times New Roman CYR" w:cs="Times New Roman CYR"/>
          <w:sz w:val="24"/>
          <w:szCs w:val="24"/>
        </w:rPr>
        <w:t xml:space="preserve"> – додати ці числа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minus</w:t>
      </w:r>
      <w:r>
        <w:rPr>
          <w:rFonts w:ascii="Times New Roman CYR" w:hAnsi="Times New Roman CYR" w:cs="Times New Roman CYR"/>
          <w:sz w:val="24"/>
          <w:szCs w:val="24"/>
        </w:rPr>
        <w:t xml:space="preserve"> – відняти друге число від першого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div</w:t>
      </w:r>
      <w:r>
        <w:rPr>
          <w:rFonts w:ascii="Times New Roman CYR" w:hAnsi="Times New Roman CYR" w:cs="Times New Roman CYR"/>
          <w:sz w:val="24"/>
          <w:szCs w:val="24"/>
        </w:rPr>
        <w:t xml:space="preserve"> - знайти цілу части</w:t>
      </w:r>
      <w:r>
        <w:rPr>
          <w:rFonts w:ascii="Times New Roman CYR" w:hAnsi="Times New Roman CYR" w:cs="Times New Roman CYR"/>
          <w:sz w:val="24"/>
          <w:szCs w:val="24"/>
        </w:rPr>
        <w:t>ну від ділення першого числа на друге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mod</w:t>
      </w:r>
      <w:r>
        <w:rPr>
          <w:rFonts w:ascii="Times New Roman CYR" w:hAnsi="Times New Roman CYR" w:cs="Times New Roman CYR"/>
          <w:sz w:val="24"/>
          <w:szCs w:val="24"/>
        </w:rPr>
        <w:t xml:space="preserve"> – знайти остачу від ділення першого числа на друге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mult</w:t>
      </w:r>
      <w:r>
        <w:rPr>
          <w:rFonts w:ascii="Times New Roman CYR" w:hAnsi="Times New Roman CYR" w:cs="Times New Roman CYR"/>
          <w:sz w:val="24"/>
          <w:szCs w:val="24"/>
        </w:rPr>
        <w:t xml:space="preserve"> – перемножити дані числа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Напишіть програму, яка за даними числами та операцією, обчислює результат.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Дано 2 числа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a, b (-2*10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a, b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2*10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та</w:t>
      </w:r>
      <w:r>
        <w:rPr>
          <w:rFonts w:ascii="Times New Roman CYR" w:hAnsi="Times New Roman CYR" w:cs="Times New Roman CYR"/>
          <w:sz w:val="24"/>
          <w:szCs w:val="24"/>
        </w:rPr>
        <w:t xml:space="preserve"> операцію, яка записана через один пробіл.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Oдне число - результат виконаної операції.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Примеры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01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Входные данные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 4 plus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12 5 div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>9 4 mod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4 5 minus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7 3 mult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21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Задача C-Шкідлива речовина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Шкідлива речовина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82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ничение времени: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 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памяти: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256 M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одному з боксів хімічної лабораторії, де ведуться наукові дослідження, відбувся витік шкідливої речовини. Коли ця речовина сягає зовнішніх стін лабораторії, вмикається попереджувальна сирена.</w:t>
      </w:r>
      <w:r>
        <w:rPr>
          <w:rFonts w:ascii="Times New Roman CYR" w:hAnsi="Times New Roman CYR" w:cs="Times New Roman CYR"/>
          <w:sz w:val="24"/>
          <w:szCs w:val="24"/>
        </w:rPr>
        <w:br/>
        <w:t>Відомо, що</w:t>
      </w:r>
      <w:r>
        <w:rPr>
          <w:rFonts w:ascii="Times New Roman CYR" w:hAnsi="Times New Roman CYR" w:cs="Times New Roman CYR"/>
          <w:sz w:val="24"/>
          <w:szCs w:val="24"/>
        </w:rPr>
        <w:t xml:space="preserve"> лабораторія складається з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n</w:t>
      </w:r>
      <w:r>
        <w:rPr>
          <w:rFonts w:ascii="Times New Roman CYR" w:hAnsi="Times New Roman CYR" w:cs="Times New Roman CYR"/>
          <w:sz w:val="24"/>
          <w:szCs w:val="24"/>
        </w:rPr>
        <w:t xml:space="preserve"> боксів по горизонталі та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m</w:t>
      </w:r>
      <w:r>
        <w:rPr>
          <w:rFonts w:ascii="Times New Roman CYR" w:hAnsi="Times New Roman CYR" w:cs="Times New Roman CYR"/>
          <w:sz w:val="24"/>
          <w:szCs w:val="24"/>
        </w:rPr>
        <w:t xml:space="preserve"> боксів по вертикалі, які мають нумерацію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(i, j)</w:t>
      </w:r>
      <w:r>
        <w:rPr>
          <w:rFonts w:ascii="Times New Roman CYR" w:hAnsi="Times New Roman CYR" w:cs="Times New Roman CYR"/>
          <w:sz w:val="24"/>
          <w:szCs w:val="24"/>
        </w:rPr>
        <w:t xml:space="preserve">, де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i</w:t>
      </w:r>
      <w:r>
        <w:rPr>
          <w:rFonts w:ascii="Times New Roman CYR" w:hAnsi="Times New Roman CYR" w:cs="Times New Roman CYR"/>
          <w:sz w:val="24"/>
          <w:szCs w:val="24"/>
        </w:rPr>
        <w:t xml:space="preserve"> – номер рядка, 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j</w:t>
      </w:r>
      <w:r>
        <w:rPr>
          <w:rFonts w:ascii="Times New Roman CYR" w:hAnsi="Times New Roman CYR" w:cs="Times New Roman CYR"/>
          <w:sz w:val="24"/>
          <w:szCs w:val="24"/>
        </w:rPr>
        <w:t xml:space="preserve"> – номер боксу в рядку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i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n, 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j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m)</w:t>
      </w:r>
      <w:r>
        <w:rPr>
          <w:rFonts w:ascii="Times New Roman CYR" w:hAnsi="Times New Roman CYR" w:cs="Times New Roman CYR"/>
          <w:sz w:val="24"/>
          <w:szCs w:val="24"/>
        </w:rPr>
        <w:t xml:space="preserve">. Витік шкідливої речовини відбувся у боксі з номером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(х, у)</w:t>
      </w:r>
      <w:r>
        <w:rPr>
          <w:rFonts w:ascii="Times New Roman CYR" w:hAnsi="Times New Roman CYR" w:cs="Times New Roman CYR"/>
          <w:sz w:val="24"/>
          <w:szCs w:val="24"/>
        </w:rPr>
        <w:t xml:space="preserve"> і протягом 1 хвилини п</w:t>
      </w:r>
      <w:r>
        <w:rPr>
          <w:rFonts w:ascii="Times New Roman CYR" w:hAnsi="Times New Roman CYR" w:cs="Times New Roman CYR"/>
          <w:sz w:val="24"/>
          <w:szCs w:val="24"/>
        </w:rPr>
        <w:t xml:space="preserve">оширюється у сусідні бокси через спільні з ним стіни.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у першому рядку містяться розміри лабораторії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n, m 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n, m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, у другому – нумерація боксу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x, y 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x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n, 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y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m)</w:t>
      </w:r>
      <w:r>
        <w:rPr>
          <w:rFonts w:ascii="Times New Roman CYR" w:hAnsi="Times New Roman CYR" w:cs="Times New Roman CYR"/>
          <w:sz w:val="24"/>
          <w:szCs w:val="24"/>
        </w:rPr>
        <w:t xml:space="preserve">, де відбувся витік шкідливої речовини.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>одне числ</w:t>
      </w:r>
      <w:r>
        <w:rPr>
          <w:rFonts w:ascii="Times New Roman CYR" w:hAnsi="Times New Roman CYR" w:cs="Times New Roman CYR"/>
          <w:sz w:val="24"/>
          <w:szCs w:val="24"/>
        </w:rPr>
        <w:t xml:space="preserve">о, яке визначає мінімальну кількість хвилин, через яку увімкнеться попереджувальна сирена.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Примеры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01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Входные данные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5 5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2 3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5 5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3 3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Задача D-Гра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Гра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82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времени: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 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памяти: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256 M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парку встановили новий ат</w:t>
      </w:r>
      <w:r>
        <w:rPr>
          <w:rFonts w:ascii="Times New Roman CYR" w:hAnsi="Times New Roman CYR" w:cs="Times New Roman CYR"/>
          <w:sz w:val="24"/>
          <w:szCs w:val="24"/>
        </w:rPr>
        <w:t>ракціон, який був зроблений у вигляді закритого круглого приміщення, куди заходив гравець. У приміщенні вимикалося світло і по колу на стінах з’являлися білі і чорні квадрати. Гравець за один крок гри може прибирати два квадрати однакового кольору, притиск</w:t>
      </w:r>
      <w:r>
        <w:rPr>
          <w:rFonts w:ascii="Times New Roman CYR" w:hAnsi="Times New Roman CYR" w:cs="Times New Roman CYR"/>
          <w:sz w:val="24"/>
          <w:szCs w:val="24"/>
        </w:rPr>
        <w:t>аючи до них свої долоні. Послідовність прибирання квадратів різних кольорів немає значення, тобто спочатку можна прибрати всі квадрати одного кольору, а потім іншого, або у будь-якій іншій послідовності.</w:t>
      </w:r>
      <w:r>
        <w:rPr>
          <w:rFonts w:ascii="Times New Roman CYR" w:hAnsi="Times New Roman CYR" w:cs="Times New Roman CYR"/>
          <w:sz w:val="24"/>
          <w:szCs w:val="24"/>
        </w:rPr>
        <w:br/>
        <w:t>Гравець виграє приз, якщо у результаті залишиться од</w:t>
      </w:r>
      <w:r>
        <w:rPr>
          <w:rFonts w:ascii="Times New Roman CYR" w:hAnsi="Times New Roman CYR" w:cs="Times New Roman CYR"/>
          <w:sz w:val="24"/>
          <w:szCs w:val="24"/>
        </w:rPr>
        <w:t>ин квадрат білого кольору, і залишиться без призу, якщо залишиться лише один квадрат чорного кольору. У разі, коли не залишиться жодного квадрату, то у нього з’являється можливість зіграти ще раз.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Допоможіть гравцю якнайшвидше визначитися з перспективами 5</w:t>
      </w:r>
      <w:r>
        <w:rPr>
          <w:rFonts w:ascii="Times New Roman CYR" w:hAnsi="Times New Roman CYR" w:cs="Times New Roman CYR"/>
          <w:sz w:val="24"/>
          <w:szCs w:val="24"/>
        </w:rPr>
        <w:t xml:space="preserve"> сеансів гри.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у першому рядку міститься число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w</w:t>
      </w:r>
      <w:r>
        <w:rPr>
          <w:rFonts w:ascii="Times New Roman CYR" w:hAnsi="Times New Roman CYR" w:cs="Times New Roman CYR"/>
          <w:sz w:val="24"/>
          <w:szCs w:val="24"/>
        </w:rPr>
        <w:t xml:space="preserve">, яке визначає початкову кількість квадратів білого кольору в першій грі, у другому рядку – число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b</w:t>
      </w:r>
      <w:r>
        <w:rPr>
          <w:rFonts w:ascii="Times New Roman CYR" w:hAnsi="Times New Roman CYR" w:cs="Times New Roman CYR"/>
          <w:sz w:val="24"/>
          <w:szCs w:val="24"/>
        </w:rPr>
        <w:t xml:space="preserve">, яке визначає початкову кількість квадратів чорного кольору в першій грі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w, b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1000000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. У третьому та четвертому рядках – числа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w</w:t>
      </w:r>
      <w:r>
        <w:rPr>
          <w:rFonts w:ascii="Times New Roman CYR" w:hAnsi="Times New Roman CYR" w:cs="Times New Roman CYR"/>
          <w:sz w:val="24"/>
          <w:szCs w:val="24"/>
        </w:rPr>
        <w:t xml:space="preserve"> та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b</w:t>
      </w:r>
      <w:r>
        <w:rPr>
          <w:rFonts w:ascii="Times New Roman CYR" w:hAnsi="Times New Roman CYR" w:cs="Times New Roman CYR"/>
          <w:sz w:val="24"/>
          <w:szCs w:val="24"/>
        </w:rPr>
        <w:t>, що визначають початкову кількість квадратів відповідно білого та чорного кольорів в другій грі. Аналогічно для решти (всього 10 рядків – по 2 на кожну з 5 ігор).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>для кожної з 5 ігор в окремому</w:t>
      </w:r>
      <w:r>
        <w:rPr>
          <w:rFonts w:ascii="Times New Roman CYR" w:hAnsi="Times New Roman CYR" w:cs="Times New Roman CYR"/>
          <w:sz w:val="24"/>
          <w:szCs w:val="24"/>
        </w:rPr>
        <w:t xml:space="preserve"> рядку вивести ‘Lose’, якщо гравець не отримає приз, ‘Win’, якщо гравець отримає приз, та ‘Again’, якщо він зможе зіграти ще раз.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Примеры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01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Входные данные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10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100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1001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1001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1411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2015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Win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Lose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Again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Win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Win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Задача E-Черга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Черга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82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раничение времени: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500 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Ограничение памяти: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 M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 відкриттям кас, де продаються білети на залізничні потяги, вишикувалася величезна черга. Після відкриття кас виявилося, що працюють не всі вікна і час обслуговування обмежений. Самі покупці вирішили</w:t>
      </w:r>
      <w:r>
        <w:rPr>
          <w:rFonts w:ascii="Times New Roman CYR" w:hAnsi="Times New Roman CYR" w:cs="Times New Roman CYR"/>
          <w:sz w:val="24"/>
          <w:szCs w:val="24"/>
        </w:rPr>
        <w:t xml:space="preserve"> розподілитися по працюючим касам таким чином: не порушуючи послідовності людей у попередньо зайнятій черзі, до першого вікна переходить перша група покупців, до другого – наступна і т.д. Розподіл черги на групи повинен враховувати час роботи кас.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Вхідні </w:t>
      </w:r>
      <w:r>
        <w:rPr>
          <w:rFonts w:ascii="Times New Roman CYR" w:hAnsi="Times New Roman CYR" w:cs="Times New Roman CYR"/>
          <w:sz w:val="24"/>
          <w:szCs w:val="24"/>
        </w:rPr>
        <w:t>дані: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у першому рядку міститься кількість людей у черзі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N 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N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3*10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6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, кількість працюючих вікон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K 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K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, час роботи кас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 xml:space="preserve">. У другому – час обслуговування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a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bscript"/>
        </w:rPr>
        <w:t>1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a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, …, a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bscript"/>
        </w:rPr>
        <w:t>n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a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bscript"/>
        </w:rPr>
        <w:t>i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t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≤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vertAlign w:val="superscript"/>
        </w:rPr>
        <w:t>9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 xml:space="preserve"> кожної людини у черзі. 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Вихідні дані:</w:t>
      </w:r>
      <w:r>
        <w:rPr>
          <w:rFonts w:ascii="Times New Roman CYR" w:hAnsi="Times New Roman CYR" w:cs="Times New Roman CYR"/>
          <w:sz w:val="24"/>
          <w:szCs w:val="24"/>
        </w:rPr>
        <w:br/>
        <w:t>одне число, яке виз</w:t>
      </w:r>
      <w:r>
        <w:rPr>
          <w:rFonts w:ascii="Times New Roman CYR" w:hAnsi="Times New Roman CYR" w:cs="Times New Roman CYR"/>
          <w:sz w:val="24"/>
          <w:szCs w:val="24"/>
        </w:rPr>
        <w:t xml:space="preserve">начає максимальний час, необхідний для обслуговування покупців у межах часу роботи кас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t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00000" w:rsidRDefault="00CC344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Примеры</w:t>
      </w:r>
    </w:p>
    <w:tbl>
      <w:tblPr>
        <w:tblW w:w="0" w:type="auto"/>
        <w:tblInd w:w="-3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01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Входные данные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lastRenderedPageBreak/>
              <w:t xml:space="preserve">5 3 4 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2 3 2 1 4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5 3 2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1 1 1 1 1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5 3 5</w:t>
            </w:r>
          </w:p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1 1 1 1 1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34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5</w:t>
            </w:r>
          </w:p>
        </w:tc>
      </w:tr>
    </w:tbl>
    <w:p w:rsidR="00000000" w:rsidRDefault="00CC34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344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0000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344C"/>
    <w:rsid w:val="00C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3218</Words>
  <Characters>1835</Characters>
  <Application>Microsoft Office Word</Application>
  <DocSecurity>0</DocSecurity>
  <Lines>15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2015-11-21T12:02:00Z</dcterms:created>
  <dcterms:modified xsi:type="dcterms:W3CDTF">2015-11-21T12:02:00Z</dcterms:modified>
</cp:coreProperties>
</file>